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Vocabulary: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mangled—</w:t>
      </w:r>
      <w:r w:rsidDel="00000000" w:rsidR="00000000" w:rsidRPr="00000000">
        <w:rPr>
          <w:rtl w:val="0"/>
        </w:rPr>
        <w:t xml:space="preserve">so damaged or hurt that something is twisted out of shape and can no longer be used. 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former—</w:t>
      </w:r>
      <w:r w:rsidDel="00000000" w:rsidR="00000000" w:rsidRPr="00000000">
        <w:rPr>
          <w:rtl w:val="0"/>
        </w:rPr>
        <w:t xml:space="preserve">in this case, “former” is used to refer to the first of two people or things that you have mentioned.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latter—</w:t>
      </w:r>
      <w:r w:rsidDel="00000000" w:rsidR="00000000" w:rsidRPr="00000000">
        <w:rPr>
          <w:rtl w:val="0"/>
        </w:rPr>
        <w:t xml:space="preserve">used to refer to the second of two people or things that you have mentioned.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Spaniard—</w:t>
      </w:r>
      <w:r w:rsidDel="00000000" w:rsidR="00000000" w:rsidRPr="00000000">
        <w:rPr>
          <w:rtl w:val="0"/>
        </w:rPr>
        <w:t xml:space="preserve">a person from Spain.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subversive-</w:t>
      </w:r>
      <w:r w:rsidDel="00000000" w:rsidR="00000000" w:rsidRPr="00000000">
        <w:rPr>
          <w:rtl w:val="0"/>
        </w:rPr>
        <w:t xml:space="preserve">-intended to destroy of undermine the power of a government, belief, or other authority.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Dane—</w:t>
      </w:r>
      <w:r w:rsidDel="00000000" w:rsidR="00000000" w:rsidRPr="00000000">
        <w:rPr>
          <w:rtl w:val="0"/>
        </w:rPr>
        <w:t xml:space="preserve">a person from Denmark.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gross--</w:t>
      </w:r>
      <w:r w:rsidDel="00000000" w:rsidR="00000000" w:rsidRPr="00000000">
        <w:rPr>
          <w:rtl w:val="0"/>
        </w:rPr>
        <w:t xml:space="preserve"> 144 of something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Use the footnote.  What is Maidanek?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is being shipped to Maidanek?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the second stanza, what do the Russian mother and her child have with them?  Why does the speaker mention their belongings?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Why does the poet begin so many lines with “Item:”?  What is he trying to emphasize?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word “disposition” has multiple meanings.  Out of all the following meanings, which one is appropriate for the poem and why?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hyperlink r:id="rId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the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way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that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someone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normally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thinks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and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behaves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 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that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shows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what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type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of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person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they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are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tendency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behave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in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certain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way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/>
      </w:pPr>
      <w:hyperlink r:id="rId2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the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order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or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arrangement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of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something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the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legal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process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of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giving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3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property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4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or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hyperlink r:id="rId4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money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4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hyperlink r:id="rId4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someone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is </w:t>
      </w:r>
      <w:r w:rsidDel="00000000" w:rsidR="00000000" w:rsidRPr="00000000">
        <w:rPr>
          <w:rtl w:val="0"/>
        </w:rPr>
        <w:t xml:space="preserve">the author’s message?  The theme of the poem?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44" w:type="default"/>
      <w:pgSz w:h="15840" w:w="12240"/>
      <w:pgMar w:bottom="1296" w:top="1296" w:left="1296" w:right="129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bottom w:color="622423" w:space="1" w:sz="24" w:val="single"/>
      </w:pBdr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  <w:rtl w:val="0"/>
      </w:rPr>
      <w:t xml:space="preserve">“Shipment to Maidanek” by Ephim Fogel</w: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440" w:firstLine="108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macmillandictionary.com/search/british/direct/?q=or" TargetMode="External"/><Relationship Id="rId20" Type="http://schemas.openxmlformats.org/officeDocument/2006/relationships/hyperlink" Target="http://www.macmillandictionary.com/search/british/direct/?q=are" TargetMode="External"/><Relationship Id="rId42" Type="http://schemas.openxmlformats.org/officeDocument/2006/relationships/hyperlink" Target="http://www.macmillandictionary.com/search/british/direct/?q=to" TargetMode="External"/><Relationship Id="rId41" Type="http://schemas.openxmlformats.org/officeDocument/2006/relationships/hyperlink" Target="http://www.macmillandictionary.com/search/british/direct/?q=money" TargetMode="External"/><Relationship Id="rId22" Type="http://schemas.openxmlformats.org/officeDocument/2006/relationships/hyperlink" Target="http://www.macmillandictionary.com/search/british/direct/?q=tendency" TargetMode="External"/><Relationship Id="rId44" Type="http://schemas.openxmlformats.org/officeDocument/2006/relationships/header" Target="header1.xml"/><Relationship Id="rId21" Type="http://schemas.openxmlformats.org/officeDocument/2006/relationships/hyperlink" Target="http://www.macmillandictionary.com/search/british/direct/?q=a" TargetMode="External"/><Relationship Id="rId43" Type="http://schemas.openxmlformats.org/officeDocument/2006/relationships/hyperlink" Target="http://www.macmillandictionary.com/search/british/direct/?q=someone" TargetMode="External"/><Relationship Id="rId24" Type="http://schemas.openxmlformats.org/officeDocument/2006/relationships/hyperlink" Target="http://www.macmillandictionary.com/search/british/direct/?q=behave" TargetMode="External"/><Relationship Id="rId23" Type="http://schemas.openxmlformats.org/officeDocument/2006/relationships/hyperlink" Target="http://www.macmillandictionary.com/search/british/direct/?q=to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macmillandictionary.com/search/british/direct/?q=normally" TargetMode="External"/><Relationship Id="rId26" Type="http://schemas.openxmlformats.org/officeDocument/2006/relationships/hyperlink" Target="http://www.macmillandictionary.com/search/british/direct/?q=a" TargetMode="External"/><Relationship Id="rId25" Type="http://schemas.openxmlformats.org/officeDocument/2006/relationships/hyperlink" Target="http://www.macmillandictionary.com/search/british/direct/?q=in" TargetMode="External"/><Relationship Id="rId28" Type="http://schemas.openxmlformats.org/officeDocument/2006/relationships/hyperlink" Target="http://www.macmillandictionary.com/search/british/direct/?q=way" TargetMode="External"/><Relationship Id="rId27" Type="http://schemas.openxmlformats.org/officeDocument/2006/relationships/hyperlink" Target="http://www.macmillandictionary.com/search/british/direct/?q=certain" TargetMode="External"/><Relationship Id="rId5" Type="http://schemas.openxmlformats.org/officeDocument/2006/relationships/hyperlink" Target="http://www.macmillandictionary.com/search/british/direct/?q=the" TargetMode="External"/><Relationship Id="rId6" Type="http://schemas.openxmlformats.org/officeDocument/2006/relationships/hyperlink" Target="http://www.macmillandictionary.com/search/british/direct/?q=way" TargetMode="External"/><Relationship Id="rId29" Type="http://schemas.openxmlformats.org/officeDocument/2006/relationships/hyperlink" Target="http://www.macmillandictionary.com/search/british/direct/?q=the" TargetMode="External"/><Relationship Id="rId7" Type="http://schemas.openxmlformats.org/officeDocument/2006/relationships/hyperlink" Target="http://www.macmillandictionary.com/search/british/direct/?q=that" TargetMode="External"/><Relationship Id="rId8" Type="http://schemas.openxmlformats.org/officeDocument/2006/relationships/hyperlink" Target="http://www.macmillandictionary.com/search/british/direct/?q=someone" TargetMode="External"/><Relationship Id="rId31" Type="http://schemas.openxmlformats.org/officeDocument/2006/relationships/hyperlink" Target="http://www.macmillandictionary.com/search/british/direct/?q=or" TargetMode="External"/><Relationship Id="rId30" Type="http://schemas.openxmlformats.org/officeDocument/2006/relationships/hyperlink" Target="http://www.macmillandictionary.com/search/british/direct/?q=order" TargetMode="External"/><Relationship Id="rId11" Type="http://schemas.openxmlformats.org/officeDocument/2006/relationships/hyperlink" Target="http://www.macmillandictionary.com/search/british/direct/?q=and" TargetMode="External"/><Relationship Id="rId33" Type="http://schemas.openxmlformats.org/officeDocument/2006/relationships/hyperlink" Target="http://www.macmillandictionary.com/search/british/direct/?q=of" TargetMode="External"/><Relationship Id="rId10" Type="http://schemas.openxmlformats.org/officeDocument/2006/relationships/hyperlink" Target="http://www.macmillandictionary.com/search/british/direct/?q=thinks" TargetMode="External"/><Relationship Id="rId32" Type="http://schemas.openxmlformats.org/officeDocument/2006/relationships/hyperlink" Target="http://www.macmillandictionary.com/search/british/direct/?q=arrangement" TargetMode="External"/><Relationship Id="rId13" Type="http://schemas.openxmlformats.org/officeDocument/2006/relationships/hyperlink" Target="http://www.macmillandictionary.com/search/british/direct/?q=that" TargetMode="External"/><Relationship Id="rId35" Type="http://schemas.openxmlformats.org/officeDocument/2006/relationships/hyperlink" Target="http://www.macmillandictionary.com/search/british/direct/?q=the" TargetMode="External"/><Relationship Id="rId12" Type="http://schemas.openxmlformats.org/officeDocument/2006/relationships/hyperlink" Target="http://www.macmillandictionary.com/search/british/direct/?q=behaves" TargetMode="External"/><Relationship Id="rId34" Type="http://schemas.openxmlformats.org/officeDocument/2006/relationships/hyperlink" Target="http://www.macmillandictionary.com/search/british/direct/?q=something" TargetMode="External"/><Relationship Id="rId15" Type="http://schemas.openxmlformats.org/officeDocument/2006/relationships/hyperlink" Target="http://www.macmillandictionary.com/search/british/direct/?q=what" TargetMode="External"/><Relationship Id="rId37" Type="http://schemas.openxmlformats.org/officeDocument/2006/relationships/hyperlink" Target="http://www.macmillandictionary.com/search/british/direct/?q=of" TargetMode="External"/><Relationship Id="rId14" Type="http://schemas.openxmlformats.org/officeDocument/2006/relationships/hyperlink" Target="http://www.macmillandictionary.com/search/british/direct/?q=shows" TargetMode="External"/><Relationship Id="rId36" Type="http://schemas.openxmlformats.org/officeDocument/2006/relationships/hyperlink" Target="http://www.macmillandictionary.com/search/british/direct/?q=process" TargetMode="External"/><Relationship Id="rId17" Type="http://schemas.openxmlformats.org/officeDocument/2006/relationships/hyperlink" Target="http://www.macmillandictionary.com/search/british/direct/?q=of" TargetMode="External"/><Relationship Id="rId39" Type="http://schemas.openxmlformats.org/officeDocument/2006/relationships/hyperlink" Target="http://www.macmillandictionary.com/search/british/direct/?q=property" TargetMode="External"/><Relationship Id="rId16" Type="http://schemas.openxmlformats.org/officeDocument/2006/relationships/hyperlink" Target="http://www.macmillandictionary.com/search/british/direct/?q=type" TargetMode="External"/><Relationship Id="rId38" Type="http://schemas.openxmlformats.org/officeDocument/2006/relationships/hyperlink" Target="http://www.macmillandictionary.com/search/british/direct/?q=giving" TargetMode="External"/><Relationship Id="rId19" Type="http://schemas.openxmlformats.org/officeDocument/2006/relationships/hyperlink" Target="http://www.macmillandictionary.com/search/british/direct/?q=they" TargetMode="External"/><Relationship Id="rId18" Type="http://schemas.openxmlformats.org/officeDocument/2006/relationships/hyperlink" Target="http://www.macmillandictionary.com/search/british/direct/?q=person" TargetMode="External"/></Relationships>
</file>