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5760" w:firstLine="720"/>
        <w:jc w:val="center"/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Refugee</w:t>
      </w:r>
      <w:r w:rsidDel="00000000" w:rsidR="00000000" w:rsidRPr="00000000">
        <w:rPr>
          <w:b w:val="1"/>
          <w:sz w:val="36"/>
          <w:szCs w:val="36"/>
          <w:rtl w:val="0"/>
        </w:rPr>
        <w:t xml:space="preserve"> Reading Check ch. 42-47 (247-278)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Answer the following questions in complete sentences.  You can and should use your book.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what happens at the Hungarian border.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how captain Schroeder talks Pozner and the other passengers out of mutiny.  (Mutiny is taking over a ship.)   What does this say about Schroeder’s character?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why Josef is so determined to continue with the mutiny even after Schroeder has talked everyone else out of it.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OVER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how Hungary is responding to the adversity the Syrian refugees face.  Why is Hungary responding like this?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Remember that Josef and his family are promised asylum (safety) in France.  Why then do they wind up on the run again at the end of ch. 46 (274)?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ch. 47 (275-278) we finally see Josef’s and Isabel’s stories connect.  What connection does Lito have to Josef?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motivates Lito to respond to adversity by jumping overboard?  Find a quote to support your answer.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