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Refugee</w:t>
      </w:r>
      <w:r w:rsidDel="00000000" w:rsidR="00000000" w:rsidRPr="00000000">
        <w:rPr>
          <w:b w:val="1"/>
          <w:sz w:val="36"/>
          <w:szCs w:val="36"/>
          <w:rtl w:val="0"/>
        </w:rPr>
        <w:t xml:space="preserve"> Reading Check Ch 1-5 (1-29)</w:t>
      </w:r>
      <w:r w:rsidDel="00000000" w:rsidR="00000000" w:rsidRPr="00000000">
        <w:rPr>
          <w:b w:val="1"/>
          <w:rtl w:val="0"/>
        </w:rPr>
        <w:tab/>
        <w:tab/>
        <w:tab/>
        <w:t xml:space="preserve">Name: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Answer the following questions in complete sentences.  You can and should use your book.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the adversity Josef and his family face in Germany.  Why do they have to leave?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the adversity Isabel and her family face in Cuba.  Why is everyone hungry?  Why don’t people just leave Cuba?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the adversity Mahmoud and his family face in Syria.  Why does Mahmoud think it is better not to have friends and to just be invisible? 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  <w:t xml:space="preserve">OVER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are Josef and his family going to Cuba?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Remember that Josef takes off his armband because he is curious about something.  What is he curious about and what does he discover?    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is Havana rioting?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Why does Papi (Isabel’s father) have to leave Cuba?</w:t>
      </w:r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